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TSG-SA3 Meeting #110Ad-Hoc-e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</w:rPr>
        <w:t>1843</w:t>
      </w:r>
    </w:p>
    <w:p>
      <w:pPr>
        <w:pStyle w:val="129"/>
        <w:outlineLvl w:val="0"/>
        <w:rPr>
          <w:b/>
          <w:bCs/>
          <w:sz w:val="24"/>
        </w:rPr>
      </w:pPr>
      <w:r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Discussion on </w:t>
      </w:r>
      <w:r>
        <w:rPr>
          <w:rFonts w:ascii="Arial" w:hAnsi="Arial"/>
          <w:b/>
          <w:lang w:val="en-US"/>
        </w:rPr>
        <w:t>the procedure of HONTRA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4.14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rFonts w:hint="eastAsia"/>
          <w:b/>
          <w:i/>
          <w:lang w:val="en-US" w:eastAsia="zh-CN"/>
        </w:rPr>
        <w:t xml:space="preserve">Discussion on </w:t>
      </w:r>
      <w:r>
        <w:rPr>
          <w:b/>
          <w:i/>
          <w:lang w:val="en-US" w:eastAsia="zh-CN"/>
        </w:rPr>
        <w:t>the procedure of HONTRA</w:t>
      </w:r>
      <w:r>
        <w:rPr>
          <w:rFonts w:hint="eastAsia"/>
          <w:b/>
          <w:i/>
          <w:lang w:val="en-US" w:eastAsia="zh-CN"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3"/>
        <w:rPr>
          <w:lang w:val="en-US"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TR33.737 v0.</w:t>
      </w:r>
      <w:r>
        <w:rPr>
          <w:lang w:val="en-US" w:eastAsia="zh-CN"/>
        </w:rPr>
        <w:t>5</w:t>
      </w:r>
      <w:r>
        <w:rPr>
          <w:rFonts w:hint="eastAsia"/>
          <w:lang w:val="en-US" w:eastAsia="zh-CN"/>
        </w:rPr>
        <w:t>.0</w:t>
      </w:r>
    </w:p>
    <w:p>
      <w:pPr>
        <w:pStyle w:val="133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S3-23</w:t>
      </w:r>
      <w:r>
        <w:rPr>
          <w:lang w:val="en-US" w:eastAsia="zh-CN"/>
        </w:rPr>
        <w:t>1478</w:t>
      </w:r>
    </w:p>
    <w:p>
      <w:pPr>
        <w:pStyle w:val="3"/>
      </w:pPr>
      <w:r>
        <w:t>3</w:t>
      </w:r>
      <w:r>
        <w:tab/>
      </w:r>
      <w:r>
        <w:t>Rationale</w:t>
      </w:r>
    </w:p>
    <w:p>
      <w:r>
        <w:t>There are five editor's notes in the procedure of HONTRA.</w:t>
      </w:r>
    </w:p>
    <w:p>
      <w:pPr>
        <w:pStyle w:val="122"/>
        <w:rPr>
          <w:i/>
          <w:lang w:eastAsia="zh-CN"/>
        </w:rPr>
      </w:pPr>
      <w:r>
        <w:rPr>
          <w:rFonts w:hint="eastAsia"/>
          <w:i/>
          <w:lang w:eastAsia="zh-CN"/>
        </w:rPr>
        <w:t>E</w:t>
      </w:r>
      <w:r>
        <w:rPr>
          <w:i/>
          <w:lang w:eastAsia="zh-CN"/>
        </w:rPr>
        <w:t xml:space="preserve">ditor’s Note 1: Whether a new UDM service is needed is FFS, whether it is needed that a consumer NF (e.g. AUSF) triggers the UDM is FFS. </w:t>
      </w:r>
    </w:p>
    <w:p>
      <w:pPr>
        <w:pStyle w:val="122"/>
        <w:rPr>
          <w:i/>
          <w:lang w:eastAsia="zh-CN"/>
        </w:rPr>
      </w:pPr>
      <w:r>
        <w:rPr>
          <w:rFonts w:hint="eastAsia"/>
          <w:i/>
          <w:lang w:eastAsia="zh-CN"/>
        </w:rPr>
        <w:t>E</w:t>
      </w:r>
      <w:r>
        <w:rPr>
          <w:i/>
          <w:lang w:eastAsia="zh-CN"/>
        </w:rPr>
        <w:t xml:space="preserve">ditor’s Note 2: The handling of multiple AMFs registered to the UDM is FFS. </w:t>
      </w:r>
    </w:p>
    <w:p>
      <w:pPr>
        <w:pStyle w:val="122"/>
        <w:rPr>
          <w:i/>
          <w:lang w:eastAsia="zh-CN"/>
        </w:rPr>
      </w:pPr>
      <w:r>
        <w:rPr>
          <w:rFonts w:hint="eastAsia"/>
          <w:i/>
          <w:lang w:eastAsia="zh-CN"/>
        </w:rPr>
        <w:t>E</w:t>
      </w:r>
      <w:r>
        <w:rPr>
          <w:i/>
          <w:lang w:eastAsia="zh-CN"/>
        </w:rPr>
        <w:t xml:space="preserve">ditor’s Note 3: The name and the type (request/reply, subscribe notify etc) of the interaction between the AMF and UDM is FFS. </w:t>
      </w:r>
    </w:p>
    <w:p>
      <w:pPr>
        <w:pStyle w:val="122"/>
        <w:rPr>
          <w:i/>
          <w:lang w:eastAsia="zh-CN"/>
        </w:rPr>
      </w:pPr>
      <w:r>
        <w:rPr>
          <w:rFonts w:hint="eastAsia"/>
          <w:i/>
          <w:lang w:eastAsia="zh-CN"/>
        </w:rPr>
        <w:t>E</w:t>
      </w:r>
      <w:r>
        <w:rPr>
          <w:i/>
          <w:lang w:eastAsia="zh-CN"/>
        </w:rPr>
        <w:t>ditor’s Note 4: The serving network has its own authentication policy. Moreover it is possible that the UE cannot be reached. Therefore it is FFS whether it can start a primary authentication right away after receiving the authentication message from the UDM.</w:t>
      </w:r>
    </w:p>
    <w:p>
      <w:pPr>
        <w:pStyle w:val="122"/>
        <w:rPr>
          <w:i/>
          <w:lang w:eastAsia="zh-CN"/>
        </w:rPr>
      </w:pPr>
      <w:r>
        <w:rPr>
          <w:rFonts w:hint="eastAsia"/>
          <w:i/>
          <w:lang w:eastAsia="zh-CN"/>
        </w:rPr>
        <w:t>E</w:t>
      </w:r>
      <w:r>
        <w:rPr>
          <w:i/>
          <w:lang w:eastAsia="zh-CN"/>
        </w:rPr>
        <w:t>ditor’s Note 5: The step details such as for aspects covering operator/local configuration/policy usage, UDM logic, or trigger to UDM etc. are FFS.</w:t>
      </w:r>
    </w:p>
    <w:p>
      <w:r>
        <w:t>This contribution discusses how to solve these editor's notes.</w:t>
      </w:r>
    </w:p>
    <w:p>
      <w:pPr>
        <w:pStyle w:val="3"/>
        <w:rPr>
          <w:rFonts w:hint="default" w:eastAsia="宋体"/>
          <w:lang w:val="en-US" w:eastAsia="zh-CN"/>
        </w:rPr>
      </w:pPr>
      <w:r>
        <w:t>4</w:t>
      </w:r>
      <w:r>
        <w:tab/>
      </w:r>
      <w:r>
        <w:t>Detailed proposal</w:t>
      </w:r>
    </w:p>
    <w:p>
      <w:r>
        <w:rPr>
          <w:rFonts w:hint="eastAsia"/>
          <w:lang w:val="en-US" w:eastAsia="zh-CN"/>
        </w:rPr>
        <w:t xml:space="preserve">A. </w:t>
      </w:r>
      <w:r>
        <w:t>In AKMA service, if there is no AKMA context in the AAnF or the AKMA key is invalid, the AAnF can use a new service operation to notify the UDMs to trigger the primary authentication.</w:t>
      </w:r>
    </w:p>
    <w:p>
      <w:r>
        <w:rPr>
          <w:b/>
          <w:bCs/>
        </w:rPr>
        <w:t>Observation 1</w:t>
      </w:r>
      <w:r>
        <w:t>: In AKMA service, the AAnF can use a new service operation to notify the UDMs to trigger the primary authentication.</w:t>
      </w:r>
    </w:p>
    <w:p>
      <w:pPr>
        <w:rPr>
          <w:rFonts w:eastAsia="Times New Roman"/>
          <w:b/>
        </w:rPr>
      </w:pPr>
      <w:r>
        <w:rPr>
          <w:rFonts w:eastAsia="Times New Roman"/>
          <w:b/>
        </w:rPr>
        <w:t xml:space="preserve">Proposal 1: To resolve EN1, a new UDM service is needed, and a consumer NF (e.g. AAnF) can </w:t>
      </w:r>
      <w:r>
        <w:rPr>
          <w:rFonts w:hint="eastAsia"/>
          <w:b/>
          <w:lang w:val="en-US" w:eastAsia="zh-CN"/>
        </w:rPr>
        <w:t xml:space="preserve">notify the UDM to </w:t>
      </w:r>
      <w:r>
        <w:rPr>
          <w:rFonts w:eastAsia="Times New Roman"/>
          <w:b/>
        </w:rPr>
        <w:t>trigger the primary authentication.</w:t>
      </w:r>
    </w:p>
    <w:p>
      <w:pPr>
        <w:rPr>
          <w:rFonts w:eastAsia="Times New Roman"/>
          <w:b/>
        </w:rPr>
      </w:pPr>
    </w:p>
    <w:p>
      <w:pPr>
        <w:numPr>
          <w:ilvl w:val="0"/>
          <w:numId w:val="4"/>
        </w:numPr>
      </w:pPr>
      <w:r>
        <w:t xml:space="preserve">During multi-registration, the UDM may store AMF IDs in two access modes. The UDM can select the latest accessed AMF to trigger the primary authentication. However, </w:t>
      </w:r>
      <w:r>
        <w:rPr>
          <w:rFonts w:hint="eastAsia"/>
          <w:lang w:val="en-US" w:eastAsia="zh-CN"/>
        </w:rPr>
        <w:t xml:space="preserve">since </w:t>
      </w:r>
      <w:r>
        <w:t xml:space="preserve">3GPP access has wider coverage than non-3GPP access. </w:t>
      </w:r>
      <w:r>
        <w:rPr>
          <w:rFonts w:hint="eastAsia"/>
          <w:lang w:val="en-US" w:eastAsia="zh-CN"/>
        </w:rPr>
        <w:t>and</w:t>
      </w:r>
      <w:r>
        <w:t xml:space="preserve"> the UDM </w:t>
      </w:r>
      <w:r>
        <w:rPr>
          <w:rFonts w:hint="eastAsia"/>
          <w:lang w:val="en-US" w:eastAsia="zh-CN"/>
        </w:rPr>
        <w:t>is not aware of the UE location</w:t>
      </w:r>
      <w:r>
        <w:t xml:space="preserve">, it is recommended that the AMF </w:t>
      </w:r>
      <w:r>
        <w:rPr>
          <w:rFonts w:hint="eastAsia"/>
          <w:lang w:val="en-US" w:eastAsia="zh-CN"/>
        </w:rPr>
        <w:t>corresponding to</w:t>
      </w:r>
      <w:r>
        <w:t xml:space="preserve"> 3GPP </w:t>
      </w:r>
      <w:r>
        <w:rPr>
          <w:rFonts w:hint="eastAsia"/>
          <w:lang w:val="en-US" w:eastAsia="zh-CN"/>
        </w:rPr>
        <w:t>access is</w:t>
      </w:r>
      <w:r>
        <w:t xml:space="preserve"> preferred to trigger the primary authentication.</w:t>
      </w:r>
    </w:p>
    <w:p>
      <w:r>
        <w:rPr>
          <w:b/>
          <w:bCs/>
        </w:rPr>
        <w:t>Observation 2</w:t>
      </w:r>
      <w:r>
        <w:t xml:space="preserve">: UDM may store AMF IDs in two access modes,  it is recommended that the AMF </w:t>
      </w:r>
      <w:r>
        <w:rPr>
          <w:rFonts w:hint="eastAsia"/>
          <w:lang w:val="en-US" w:eastAsia="zh-CN"/>
        </w:rPr>
        <w:t>corresponding to</w:t>
      </w:r>
      <w:r>
        <w:t xml:space="preserve"> 3GPP </w:t>
      </w:r>
      <w:r>
        <w:rPr>
          <w:rFonts w:hint="eastAsia"/>
          <w:lang w:val="en-US" w:eastAsia="zh-CN"/>
        </w:rPr>
        <w:t>access is</w:t>
      </w:r>
      <w:r>
        <w:t xml:space="preserve"> preferred to trigger the primary authentication.</w:t>
      </w:r>
    </w:p>
    <w:p>
      <w:pPr>
        <w:rPr>
          <w:rFonts w:eastAsia="Times New Roman"/>
          <w:b/>
        </w:rPr>
      </w:pPr>
      <w:r>
        <w:rPr>
          <w:rFonts w:eastAsia="Times New Roman"/>
          <w:b/>
        </w:rPr>
        <w:t xml:space="preserve">Proposal 2: To resolve EN2, the AMF accessed by 3GPP </w:t>
      </w:r>
      <w:r>
        <w:rPr>
          <w:rFonts w:hint="eastAsia"/>
          <w:b/>
          <w:lang w:val="en-US" w:eastAsia="zh-CN"/>
        </w:rPr>
        <w:t>is</w:t>
      </w:r>
      <w:r>
        <w:rPr>
          <w:rFonts w:eastAsia="Times New Roman"/>
          <w:b/>
        </w:rPr>
        <w:t xml:space="preserve"> preferred to trigger the primary authentication.</w:t>
      </w:r>
    </w:p>
    <w:p>
      <w:pPr>
        <w:rPr>
          <w:rFonts w:eastAsia="Times New Roman"/>
          <w:b/>
        </w:rPr>
      </w:pPr>
    </w:p>
    <w:p>
      <w:pPr>
        <w:numPr>
          <w:ilvl w:val="0"/>
          <w:numId w:val="4"/>
        </w:numPr>
        <w:ind w:left="0" w:leftChars="0" w:firstLine="0" w:firstLineChars="0"/>
      </w:pPr>
      <w:r>
        <w:t>In the clause 5.1.2 of the TS 24.501, primary authentication must occur when the UE is in 5GMM-CONNECTED mode. However,</w:t>
      </w:r>
      <w:r>
        <w:rPr>
          <w:rFonts w:hint="eastAsia"/>
          <w:lang w:val="en-US" w:eastAsia="zh-CN"/>
        </w:rPr>
        <w:t xml:space="preserve"> </w:t>
      </w:r>
      <w:r>
        <w:t xml:space="preserve">the UDM that </w:t>
      </w:r>
      <w:r>
        <w:rPr>
          <w:rFonts w:hint="eastAsia"/>
          <w:lang w:val="en-US" w:eastAsia="zh-CN"/>
        </w:rPr>
        <w:t>is</w:t>
      </w:r>
      <w:r>
        <w:t xml:space="preserve"> responsible for triggering the primary authentication </w:t>
      </w:r>
      <w:r>
        <w:rPr>
          <w:rFonts w:hint="eastAsia"/>
          <w:lang w:val="en-US" w:eastAsia="zh-CN"/>
        </w:rPr>
        <w:t xml:space="preserve">can get to </w:t>
      </w:r>
      <w:r>
        <w:t xml:space="preserve">know that the UE is in the 5GMM-CONNECTED mode only </w:t>
      </w:r>
      <w:r>
        <w:rPr>
          <w:rFonts w:hint="eastAsia"/>
          <w:lang w:val="en-US" w:eastAsia="zh-CN"/>
        </w:rPr>
        <w:t>during</w:t>
      </w:r>
      <w:r>
        <w:t xml:space="preserve"> a registration procedure.</w:t>
      </w:r>
    </w:p>
    <w:p>
      <w:r>
        <w:t>When a UE roams from the EPC to the 5GS, the UDM may find that there is no AUSF address</w:t>
      </w:r>
      <w:r>
        <w:rPr>
          <w:rFonts w:hint="eastAsia"/>
          <w:lang w:val="en-US" w:eastAsia="zh-CN"/>
        </w:rPr>
        <w:t xml:space="preserve"> corresponds to the UE. In this case, if</w:t>
      </w:r>
      <w:r>
        <w:t xml:space="preserve"> the home network supports SORs and UPU, or the UE subscribes to AKMA service</w:t>
      </w:r>
      <w:r>
        <w:rPr>
          <w:rFonts w:hint="eastAsia"/>
          <w:lang w:val="en-US" w:eastAsia="zh-CN"/>
        </w:rPr>
        <w:t>s</w:t>
      </w:r>
      <w:r>
        <w:t xml:space="preserve">, </w:t>
      </w:r>
      <w:r>
        <w:rPr>
          <w:rFonts w:hint="eastAsia"/>
          <w:lang w:val="en-US" w:eastAsia="zh-CN"/>
        </w:rPr>
        <w:t xml:space="preserve">a </w:t>
      </w:r>
      <w:r>
        <w:t>primary authentication needs to be triggered. At this time, the UDM knows that the UE is in 5GMM-CONNECTED mode</w:t>
      </w:r>
      <w:r>
        <w:rPr>
          <w:rFonts w:hint="eastAsia"/>
          <w:lang w:val="en-US" w:eastAsia="zh-CN"/>
        </w:rPr>
        <w:t xml:space="preserve"> and </w:t>
      </w:r>
      <w:r>
        <w:t>the UDM only needs to respond to the AMF registration message.</w:t>
      </w:r>
    </w:p>
    <w:p>
      <w:r>
        <w:t>If the UDM does not know the mode of the UE, the UDM needs a new service operation to trigger primary authentication.</w:t>
      </w:r>
    </w:p>
    <w:p>
      <w:r>
        <w:rPr>
          <w:b/>
          <w:bCs/>
        </w:rPr>
        <w:t>Observation 3 and 5</w:t>
      </w:r>
      <w:r>
        <w:t xml:space="preserve">: There are two scenarios for </w:t>
      </w:r>
      <w:r>
        <w:rPr>
          <w:rFonts w:hint="eastAsia"/>
          <w:lang w:val="en-US" w:eastAsia="zh-CN"/>
        </w:rPr>
        <w:t xml:space="preserve">the </w:t>
      </w:r>
      <w:r>
        <w:t>UDM to trigger primary authentication. One is that the UDM know</w:t>
      </w:r>
      <w:r>
        <w:rPr>
          <w:rFonts w:hint="eastAsia"/>
          <w:lang w:val="en-US" w:eastAsia="zh-CN"/>
        </w:rPr>
        <w:t>s</w:t>
      </w:r>
      <w:r>
        <w:t xml:space="preserve"> that </w:t>
      </w:r>
      <w:r>
        <w:rPr>
          <w:rFonts w:hint="eastAsia"/>
          <w:lang w:val="en-US" w:eastAsia="zh-CN"/>
        </w:rPr>
        <w:t xml:space="preserve">the </w:t>
      </w:r>
      <w:r>
        <w:t>UE</w:t>
      </w:r>
      <w:r>
        <w:rPr>
          <w:rFonts w:hint="eastAsia"/>
          <w:lang w:val="en-US" w:eastAsia="zh-CN"/>
        </w:rPr>
        <w:t xml:space="preserve"> is</w:t>
      </w:r>
      <w:r>
        <w:t xml:space="preserve"> in 5GMM-CONNECTED mode, and only one response message is required. In addition, if the UDM does not know the mode of the UE, the UDM needs a new service operation.</w:t>
      </w:r>
    </w:p>
    <w:p>
      <w:pPr>
        <w:rPr>
          <w:rFonts w:hint="eastAsia"/>
          <w:b/>
          <w:lang w:val="en-US" w:eastAsia="zh-CN"/>
        </w:rPr>
      </w:pPr>
      <w:r>
        <w:rPr>
          <w:rFonts w:eastAsia="Times New Roman"/>
          <w:b/>
        </w:rPr>
        <w:t>Proposal 3: To resolve EN3, a new proce</w:t>
      </w:r>
      <w:r>
        <w:rPr>
          <w:rFonts w:hint="eastAsia"/>
          <w:b/>
          <w:lang w:val="en-US" w:eastAsia="zh-CN"/>
        </w:rPr>
        <w:t>dure is added for the condition that only one response message is required.</w:t>
      </w:r>
    </w:p>
    <w:p>
      <w:pPr>
        <w:rPr>
          <w:rFonts w:eastAsia="Times New Roman"/>
          <w:b/>
        </w:rPr>
      </w:pPr>
    </w:p>
    <w:p>
      <w:pPr>
        <w:numPr>
          <w:ilvl w:val="0"/>
          <w:numId w:val="4"/>
        </w:numPr>
        <w:ind w:left="0" w:leftChars="0" w:firstLine="0" w:firstLineChars="0"/>
      </w:pPr>
      <w:r>
        <w:t>When a UE is in 5GMM-IDLE mode, the AMF needs to page or notify the UE to trigger a service request. The primary authentication can be triggered only when the UE is in 5GMM-CONNECTED mode. If the UE is unreachable and cannot respond to the paging or notification message, the AMF can return a response message to the UDM and notify the UDM the current status of the UE. In addition, a timer can be set to trigger the primary authentication. In addition, the AMF can notify the UDM of this policy.</w:t>
      </w:r>
    </w:p>
    <w:p>
      <w:r>
        <w:rPr>
          <w:b/>
          <w:bCs/>
        </w:rPr>
        <w:t>Observation 4</w:t>
      </w:r>
      <w:r>
        <w:t>: When a UE is in 5GMM-IDLE mode, the AMF needs to page or notify the UE to trigger a service request. The primary authentication can be triggered only when the UE is in 5GMM-CONNECTED mode.</w:t>
      </w:r>
    </w:p>
    <w:p>
      <w:pPr>
        <w:rPr>
          <w:rFonts w:eastAsia="Times New Roman"/>
          <w:b/>
        </w:rPr>
      </w:pPr>
      <w:r>
        <w:rPr>
          <w:rFonts w:eastAsia="Times New Roman"/>
          <w:b/>
        </w:rPr>
        <w:t>Proposal 4: To resolve EN4, it is recommended that the AMF needs to page or notify the UE to trigger a service request when UE is in 5GMM-IDLE mode. If UE is unreachable and cannot respond to the paging or notification message, the AMF can return a response message to the UDM and notify the UDM the current status of the UE.</w:t>
      </w:r>
    </w:p>
    <w:p>
      <w:pPr>
        <w:pStyle w:val="3"/>
        <w:rPr>
          <w:szCs w:val="36"/>
        </w:rPr>
      </w:pPr>
      <w:bookmarkStart w:id="0" w:name="_Toc107949223"/>
      <w:bookmarkStart w:id="1" w:name="_Hlk102751453"/>
      <w:r>
        <w:rPr>
          <w:szCs w:val="36"/>
        </w:rPr>
        <w:t>5</w:t>
      </w:r>
      <w:r>
        <w:rPr>
          <w:szCs w:val="36"/>
        </w:rPr>
        <w:tab/>
      </w:r>
      <w:r>
        <w:rPr>
          <w:szCs w:val="36"/>
        </w:rPr>
        <w:t>Conclusions and proposals</w:t>
      </w:r>
      <w:bookmarkEnd w:id="0"/>
    </w:p>
    <w:bookmarkEnd w:id="1"/>
    <w:p>
      <w:pPr>
        <w:rPr>
          <w:rFonts w:eastAsia="Times New Roman"/>
          <w:b/>
        </w:rPr>
      </w:pPr>
      <w:r>
        <w:rPr>
          <w:rFonts w:eastAsia="Times New Roman"/>
          <w:b/>
        </w:rPr>
        <w:t xml:space="preserve">Proposal 1: To resolve EN1, a new UDM service is needed, and a consumer NF (e.g. AAnF) can </w:t>
      </w:r>
      <w:r>
        <w:rPr>
          <w:rFonts w:hint="eastAsia"/>
          <w:b/>
          <w:lang w:val="en-US" w:eastAsia="zh-CN"/>
        </w:rPr>
        <w:t xml:space="preserve">notify the UDM to </w:t>
      </w:r>
      <w:r>
        <w:rPr>
          <w:rFonts w:eastAsia="Times New Roman"/>
          <w:b/>
        </w:rPr>
        <w:t>trigger the primary authentication.</w:t>
      </w:r>
    </w:p>
    <w:p>
      <w:pPr>
        <w:rPr>
          <w:rFonts w:eastAsia="Times New Roman"/>
          <w:b/>
        </w:rPr>
      </w:pPr>
      <w:r>
        <w:rPr>
          <w:rFonts w:eastAsia="Times New Roman"/>
          <w:b/>
        </w:rPr>
        <w:t xml:space="preserve">Proposal 2: To resolve EN2, the AMF accessed by 3GPP </w:t>
      </w:r>
      <w:r>
        <w:rPr>
          <w:rFonts w:hint="eastAsia"/>
          <w:b/>
          <w:lang w:val="en-US" w:eastAsia="zh-CN"/>
        </w:rPr>
        <w:t>is</w:t>
      </w:r>
      <w:r>
        <w:rPr>
          <w:rFonts w:eastAsia="Times New Roman"/>
          <w:b/>
        </w:rPr>
        <w:t xml:space="preserve"> preferred to trigger the primary authentication.</w:t>
      </w:r>
    </w:p>
    <w:p>
      <w:pPr>
        <w:rPr>
          <w:rFonts w:hint="eastAsia"/>
          <w:b/>
          <w:lang w:val="en-US" w:eastAsia="zh-CN"/>
        </w:rPr>
      </w:pPr>
      <w:r>
        <w:rPr>
          <w:rFonts w:eastAsia="Times New Roman"/>
          <w:b/>
        </w:rPr>
        <w:t>Proposal 3: To resolve EN3, a new proce</w:t>
      </w:r>
      <w:r>
        <w:rPr>
          <w:rFonts w:hint="eastAsia"/>
          <w:b/>
          <w:lang w:val="en-US" w:eastAsia="zh-CN"/>
        </w:rPr>
        <w:t>dure is added for the condition that only one response message is required.</w:t>
      </w:r>
    </w:p>
    <w:p>
      <w:pPr>
        <w:rPr>
          <w:rFonts w:eastAsia="Times New Roman"/>
          <w:b/>
        </w:rPr>
      </w:pPr>
      <w:r>
        <w:rPr>
          <w:rFonts w:eastAsia="Times New Roman"/>
          <w:b/>
        </w:rPr>
        <w:t>Proposal 4: To resolve EN4, it is recommended that the AMF needs to page or notify the UE to trigger a service request when UE is in 5GMM-IDLE mode. If UE is unreachable and cannot respond to the paging or notification message, the AMF can return a response message to the UDM and notify the UDM the current status of the UE.</w:t>
      </w:r>
    </w:p>
    <w:p>
      <w:r>
        <w:t>The draft CR S3-2</w:t>
      </w:r>
      <w:r>
        <w:rPr>
          <w:highlight w:val="none"/>
        </w:rPr>
        <w:t>3</w:t>
      </w:r>
      <w:r>
        <w:rPr>
          <w:rFonts w:hint="eastAsia"/>
          <w:highlight w:val="none"/>
        </w:rPr>
        <w:t>1846</w:t>
      </w:r>
      <w:r>
        <w:t xml:space="preserve"> updates the procedure of HONTRA </w:t>
      </w:r>
      <w:r>
        <w:rPr>
          <w:rFonts w:hint="eastAsia"/>
          <w:lang w:val="en-US" w:eastAsia="zh-CN"/>
        </w:rPr>
        <w:t>according to</w:t>
      </w:r>
      <w:r>
        <w:t xml:space="preserve"> the above four proposals.</w:t>
      </w:r>
    </w:p>
    <w:p>
      <w:pPr>
        <w:rPr>
          <w:i/>
        </w:rPr>
      </w:pPr>
      <w:bookmarkStart w:id="2" w:name="_GoBack"/>
      <w:bookmarkEnd w:id="2"/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4000238B"/>
    <w:multiLevelType w:val="singleLevel"/>
    <w:tmpl w:val="4000238B"/>
    <w:lvl w:ilvl="0" w:tentative="0">
      <w:start w:val="2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NK0FAA0s74ctAAAA"/>
  </w:docVars>
  <w:rsids>
    <w:rsidRoot w:val="00E30155"/>
    <w:rsid w:val="00012515"/>
    <w:rsid w:val="00026202"/>
    <w:rsid w:val="000328ED"/>
    <w:rsid w:val="0004007E"/>
    <w:rsid w:val="00046389"/>
    <w:rsid w:val="00074722"/>
    <w:rsid w:val="000819D8"/>
    <w:rsid w:val="000934A6"/>
    <w:rsid w:val="000A2C6C"/>
    <w:rsid w:val="000A4660"/>
    <w:rsid w:val="000A4FDA"/>
    <w:rsid w:val="000B144E"/>
    <w:rsid w:val="000D1B5B"/>
    <w:rsid w:val="000D3DDA"/>
    <w:rsid w:val="0010401F"/>
    <w:rsid w:val="00112FC3"/>
    <w:rsid w:val="00132AB0"/>
    <w:rsid w:val="00135020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16C15"/>
    <w:rsid w:val="0022048C"/>
    <w:rsid w:val="00230002"/>
    <w:rsid w:val="00244C9A"/>
    <w:rsid w:val="00247216"/>
    <w:rsid w:val="00287E1F"/>
    <w:rsid w:val="00297E81"/>
    <w:rsid w:val="002A1857"/>
    <w:rsid w:val="002C7F38"/>
    <w:rsid w:val="00302BC7"/>
    <w:rsid w:val="0030628A"/>
    <w:rsid w:val="00331EB5"/>
    <w:rsid w:val="00345432"/>
    <w:rsid w:val="0035122B"/>
    <w:rsid w:val="00351F67"/>
    <w:rsid w:val="00353451"/>
    <w:rsid w:val="003617C9"/>
    <w:rsid w:val="00362012"/>
    <w:rsid w:val="00371032"/>
    <w:rsid w:val="00371B44"/>
    <w:rsid w:val="003875BB"/>
    <w:rsid w:val="003979EC"/>
    <w:rsid w:val="003A623B"/>
    <w:rsid w:val="003B207A"/>
    <w:rsid w:val="003C122B"/>
    <w:rsid w:val="003C5A97"/>
    <w:rsid w:val="003C6E6D"/>
    <w:rsid w:val="003C7A04"/>
    <w:rsid w:val="003D40C7"/>
    <w:rsid w:val="003F52B2"/>
    <w:rsid w:val="003F554B"/>
    <w:rsid w:val="00414457"/>
    <w:rsid w:val="00440414"/>
    <w:rsid w:val="004558E9"/>
    <w:rsid w:val="0045777E"/>
    <w:rsid w:val="004859D4"/>
    <w:rsid w:val="004959AC"/>
    <w:rsid w:val="004B3753"/>
    <w:rsid w:val="004C06CC"/>
    <w:rsid w:val="004C1E30"/>
    <w:rsid w:val="004C31D2"/>
    <w:rsid w:val="004D24B3"/>
    <w:rsid w:val="004D55C2"/>
    <w:rsid w:val="004F1163"/>
    <w:rsid w:val="004F3275"/>
    <w:rsid w:val="00501D6B"/>
    <w:rsid w:val="00504D80"/>
    <w:rsid w:val="00520AAA"/>
    <w:rsid w:val="00521131"/>
    <w:rsid w:val="00527C0B"/>
    <w:rsid w:val="005410F6"/>
    <w:rsid w:val="00564ECD"/>
    <w:rsid w:val="005729C4"/>
    <w:rsid w:val="00575466"/>
    <w:rsid w:val="0059227B"/>
    <w:rsid w:val="00592445"/>
    <w:rsid w:val="0059556E"/>
    <w:rsid w:val="005B0966"/>
    <w:rsid w:val="005B795D"/>
    <w:rsid w:val="005D617B"/>
    <w:rsid w:val="005F15F9"/>
    <w:rsid w:val="0060514A"/>
    <w:rsid w:val="00613820"/>
    <w:rsid w:val="00624F53"/>
    <w:rsid w:val="0065010F"/>
    <w:rsid w:val="00652248"/>
    <w:rsid w:val="00654E78"/>
    <w:rsid w:val="006550C7"/>
    <w:rsid w:val="00657B80"/>
    <w:rsid w:val="00675B3C"/>
    <w:rsid w:val="0069495C"/>
    <w:rsid w:val="006B06FD"/>
    <w:rsid w:val="006D340A"/>
    <w:rsid w:val="006E3A0F"/>
    <w:rsid w:val="00715A1D"/>
    <w:rsid w:val="00760BB0"/>
    <w:rsid w:val="0076157A"/>
    <w:rsid w:val="007640E9"/>
    <w:rsid w:val="00772CFE"/>
    <w:rsid w:val="00780E08"/>
    <w:rsid w:val="00784593"/>
    <w:rsid w:val="007A00EF"/>
    <w:rsid w:val="007B19EA"/>
    <w:rsid w:val="007B3780"/>
    <w:rsid w:val="007C05A0"/>
    <w:rsid w:val="007C0A2D"/>
    <w:rsid w:val="007C27B0"/>
    <w:rsid w:val="007E537E"/>
    <w:rsid w:val="007F300B"/>
    <w:rsid w:val="00800FDD"/>
    <w:rsid w:val="008014C3"/>
    <w:rsid w:val="00807A40"/>
    <w:rsid w:val="00813374"/>
    <w:rsid w:val="00826AA5"/>
    <w:rsid w:val="008417BF"/>
    <w:rsid w:val="00850812"/>
    <w:rsid w:val="008609BA"/>
    <w:rsid w:val="00876B9A"/>
    <w:rsid w:val="008838CC"/>
    <w:rsid w:val="008841F2"/>
    <w:rsid w:val="008933BF"/>
    <w:rsid w:val="008A10C4"/>
    <w:rsid w:val="008B0248"/>
    <w:rsid w:val="008B7A1F"/>
    <w:rsid w:val="008C027C"/>
    <w:rsid w:val="008D4FB6"/>
    <w:rsid w:val="008F5F33"/>
    <w:rsid w:val="0091046A"/>
    <w:rsid w:val="00926ABD"/>
    <w:rsid w:val="0094399D"/>
    <w:rsid w:val="00947F4E"/>
    <w:rsid w:val="00966D47"/>
    <w:rsid w:val="0097323A"/>
    <w:rsid w:val="00992312"/>
    <w:rsid w:val="009A6EC1"/>
    <w:rsid w:val="009B23C8"/>
    <w:rsid w:val="009B76EB"/>
    <w:rsid w:val="009C0DED"/>
    <w:rsid w:val="009E0420"/>
    <w:rsid w:val="009E3206"/>
    <w:rsid w:val="00A15456"/>
    <w:rsid w:val="00A21C32"/>
    <w:rsid w:val="00A37D7F"/>
    <w:rsid w:val="00A40D8D"/>
    <w:rsid w:val="00A43DAD"/>
    <w:rsid w:val="00A44EFB"/>
    <w:rsid w:val="00A46410"/>
    <w:rsid w:val="00A57688"/>
    <w:rsid w:val="00A84A94"/>
    <w:rsid w:val="00A86BF7"/>
    <w:rsid w:val="00A86C08"/>
    <w:rsid w:val="00A96B4A"/>
    <w:rsid w:val="00AA62D3"/>
    <w:rsid w:val="00AD1DAA"/>
    <w:rsid w:val="00AF1E23"/>
    <w:rsid w:val="00AF7F81"/>
    <w:rsid w:val="00B01113"/>
    <w:rsid w:val="00B01AFF"/>
    <w:rsid w:val="00B05CC7"/>
    <w:rsid w:val="00B27E39"/>
    <w:rsid w:val="00B350D8"/>
    <w:rsid w:val="00B45FF7"/>
    <w:rsid w:val="00B740E0"/>
    <w:rsid w:val="00B76763"/>
    <w:rsid w:val="00B7732B"/>
    <w:rsid w:val="00B84109"/>
    <w:rsid w:val="00B879F0"/>
    <w:rsid w:val="00B962D8"/>
    <w:rsid w:val="00BA0C1B"/>
    <w:rsid w:val="00BB1DDC"/>
    <w:rsid w:val="00BB24C0"/>
    <w:rsid w:val="00BC25AA"/>
    <w:rsid w:val="00BC75B0"/>
    <w:rsid w:val="00BF1AC7"/>
    <w:rsid w:val="00BF28C9"/>
    <w:rsid w:val="00C021A8"/>
    <w:rsid w:val="00C022E3"/>
    <w:rsid w:val="00C051B3"/>
    <w:rsid w:val="00C05A8D"/>
    <w:rsid w:val="00C34CBA"/>
    <w:rsid w:val="00C46A0F"/>
    <w:rsid w:val="00C4712D"/>
    <w:rsid w:val="00C555C9"/>
    <w:rsid w:val="00C70E4E"/>
    <w:rsid w:val="00C83785"/>
    <w:rsid w:val="00C9388A"/>
    <w:rsid w:val="00C94F55"/>
    <w:rsid w:val="00CA4BDC"/>
    <w:rsid w:val="00CA7D62"/>
    <w:rsid w:val="00CB07A8"/>
    <w:rsid w:val="00CD0859"/>
    <w:rsid w:val="00CD2CC7"/>
    <w:rsid w:val="00CD4A57"/>
    <w:rsid w:val="00D02452"/>
    <w:rsid w:val="00D04C91"/>
    <w:rsid w:val="00D05955"/>
    <w:rsid w:val="00D17FF4"/>
    <w:rsid w:val="00D33604"/>
    <w:rsid w:val="00D37B08"/>
    <w:rsid w:val="00D437FF"/>
    <w:rsid w:val="00D5130C"/>
    <w:rsid w:val="00D62265"/>
    <w:rsid w:val="00D6654B"/>
    <w:rsid w:val="00D67A60"/>
    <w:rsid w:val="00D8512E"/>
    <w:rsid w:val="00DA1E58"/>
    <w:rsid w:val="00DB167B"/>
    <w:rsid w:val="00DB74B4"/>
    <w:rsid w:val="00DD33F2"/>
    <w:rsid w:val="00DE4EF2"/>
    <w:rsid w:val="00DF2C0E"/>
    <w:rsid w:val="00E04DB6"/>
    <w:rsid w:val="00E06FFB"/>
    <w:rsid w:val="00E30155"/>
    <w:rsid w:val="00E70706"/>
    <w:rsid w:val="00E73EEF"/>
    <w:rsid w:val="00E91FE1"/>
    <w:rsid w:val="00EA5E95"/>
    <w:rsid w:val="00EB66E0"/>
    <w:rsid w:val="00ED37F2"/>
    <w:rsid w:val="00ED4954"/>
    <w:rsid w:val="00ED7FFB"/>
    <w:rsid w:val="00EE0943"/>
    <w:rsid w:val="00EE33A2"/>
    <w:rsid w:val="00F01A89"/>
    <w:rsid w:val="00F157FC"/>
    <w:rsid w:val="00F261AC"/>
    <w:rsid w:val="00F34DBB"/>
    <w:rsid w:val="00F42FC5"/>
    <w:rsid w:val="00F459B3"/>
    <w:rsid w:val="00F45B5C"/>
    <w:rsid w:val="00F67A1C"/>
    <w:rsid w:val="00F75440"/>
    <w:rsid w:val="00F81F68"/>
    <w:rsid w:val="00F82C5B"/>
    <w:rsid w:val="00F8555F"/>
    <w:rsid w:val="00FA4CEF"/>
    <w:rsid w:val="014232DB"/>
    <w:rsid w:val="134A632C"/>
    <w:rsid w:val="32D822FA"/>
    <w:rsid w:val="34317A2D"/>
    <w:rsid w:val="3F6A5727"/>
    <w:rsid w:val="416E24CA"/>
    <w:rsid w:val="476A7B2F"/>
    <w:rsid w:val="4F4C5863"/>
    <w:rsid w:val="599B5C05"/>
    <w:rsid w:val="60A91437"/>
    <w:rsid w:val="77F44794"/>
    <w:rsid w:val="7BB9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6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Strong"/>
    <w:qFormat/>
    <w:uiPriority w:val="22"/>
    <w:rPr>
      <w:b/>
      <w:bCs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76"/>
    <w:qFormat/>
    <w:uiPriority w:val="0"/>
    <w:rPr>
      <w:color w:val="FF0000"/>
    </w:rPr>
  </w:style>
  <w:style w:type="paragraph" w:customStyle="1" w:styleId="123">
    <w:name w:val="B1"/>
    <w:basedOn w:val="15"/>
    <w:link w:val="172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link w:val="17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页眉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书目1"/>
    <w:basedOn w:val="1"/>
    <w:next w:val="1"/>
    <w:semiHidden/>
    <w:unhideWhenUsed/>
    <w:qFormat/>
    <w:uiPriority w:val="37"/>
  </w:style>
  <w:style w:type="character" w:customStyle="1" w:styleId="136">
    <w:name w:val="正文文本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正文文本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正文文本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正文首行缩进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正文文本缩进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正文首行缩进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正文文本缩进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正文文本缩进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结束语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批注文字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批注主题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日期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文档结构图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电子邮件签名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尾注文本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地址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预设格式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明显引用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宏文本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信息标题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注释标题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纯文本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引用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称呼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签名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副标题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标题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9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70">
    <w:name w:val="blue-complex-underline"/>
    <w:basedOn w:val="90"/>
    <w:qFormat/>
    <w:uiPriority w:val="0"/>
  </w:style>
  <w:style w:type="character" w:customStyle="1" w:styleId="171">
    <w:name w:val="red-underline"/>
    <w:basedOn w:val="90"/>
    <w:qFormat/>
    <w:uiPriority w:val="0"/>
  </w:style>
  <w:style w:type="character" w:customStyle="1" w:styleId="172">
    <w:name w:val="B1 Char1"/>
    <w:link w:val="12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3">
    <w:name w:val="root-block-nod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174">
    <w:name w:val="blue-underline"/>
    <w:basedOn w:val="90"/>
    <w:qFormat/>
    <w:uiPriority w:val="0"/>
  </w:style>
  <w:style w:type="character" w:customStyle="1" w:styleId="175">
    <w:name w:val="CR Cover Page Zchn"/>
    <w:link w:val="129"/>
    <w:qFormat/>
    <w:locked/>
    <w:uiPriority w:val="0"/>
    <w:rPr>
      <w:rFonts w:ascii="Arial" w:hAnsi="Arial"/>
      <w:lang w:val="en-GB" w:eastAsia="en-US"/>
    </w:rPr>
  </w:style>
  <w:style w:type="character" w:customStyle="1" w:styleId="176">
    <w:name w:val="EN Char"/>
    <w:link w:val="122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1.xml"/><Relationship Id="rId15" Type="http://schemas.openxmlformats.org/officeDocument/2006/relationships/customXml" Target="../customXml/item10.xml"/><Relationship Id="rId14" Type="http://schemas.openxmlformats.org/officeDocument/2006/relationships/customXml" Target="../customXml/item9.xml"/><Relationship Id="rId13" Type="http://schemas.openxmlformats.org/officeDocument/2006/relationships/customXml" Target="../customXml/item8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10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/>
  </documentManagement>
</p:properties>
</file>

<file path=customXml/item1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?mso-contentType ?>
<SharedContentType xmlns="Microsoft.SharePoint.Taxonomy.ContentTypeSync" SourceId="34c87397-5fc1-491e-85e7-d6110dbe9cbd" ContentTypeId="0x0101" PreviousValue="false"/>
</file>

<file path=customXml/item9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10.xml><?xml version="1.0" encoding="utf-8"?>
<ds:datastoreItem xmlns:ds="http://schemas.openxmlformats.org/officeDocument/2006/customXml" ds:itemID="{59E29461-EDB0-4256-9CBE-A8264547D6E5}">
  <ds:schemaRefs/>
</ds:datastoreItem>
</file>

<file path=customXml/itemProps11.xml><?xml version="1.0" encoding="utf-8"?>
<ds:datastoreItem xmlns:ds="http://schemas.openxmlformats.org/officeDocument/2006/customXml" ds:itemID="{5E327F93-76EE-496D-85D0-352A2AE57420}">
  <ds:schemaRefs/>
</ds:datastoreItem>
</file>

<file path=customXml/itemProps2.xml><?xml version="1.0" encoding="utf-8"?>
<ds:datastoreItem xmlns:ds="http://schemas.openxmlformats.org/officeDocument/2006/customXml" ds:itemID="{47598458-7B71-4134-ABBC-A55E32D71A05}">
  <ds:schemaRefs/>
</ds:datastoreItem>
</file>

<file path=customXml/itemProps3.xml><?xml version="1.0" encoding="utf-8"?>
<ds:datastoreItem xmlns:ds="http://schemas.openxmlformats.org/officeDocument/2006/customXml" ds:itemID="{B07C192F-E8D1-4CD5-BDA9-06960865B5C1}">
  <ds:schemaRefs/>
</ds:datastoreItem>
</file>

<file path=customXml/itemProps4.xml><?xml version="1.0" encoding="utf-8"?>
<ds:datastoreItem xmlns:ds="http://schemas.openxmlformats.org/officeDocument/2006/customXml" ds:itemID="{5471E25D-EED4-4ADD-9832-68B64EBE7D94}">
  <ds:schemaRefs/>
</ds:datastoreItem>
</file>

<file path=customXml/itemProps5.xml><?xml version="1.0" encoding="utf-8"?>
<ds:datastoreItem xmlns:ds="http://schemas.openxmlformats.org/officeDocument/2006/customXml" ds:itemID="{5C3EA7CA-E87F-4EE9-A0AE-A7906C4191AE}">
  <ds:schemaRefs/>
</ds:datastoreItem>
</file>

<file path=customXml/itemProps6.xml><?xml version="1.0" encoding="utf-8"?>
<ds:datastoreItem xmlns:ds="http://schemas.openxmlformats.org/officeDocument/2006/customXml" ds:itemID="{CB0AE1D6-A618-4394-B963-2E1088478694}">
  <ds:schemaRefs/>
</ds:datastoreItem>
</file>

<file path=customXml/itemProps7.xml><?xml version="1.0" encoding="utf-8"?>
<ds:datastoreItem xmlns:ds="http://schemas.openxmlformats.org/officeDocument/2006/customXml" ds:itemID="{7250AA7E-B5F9-4997-B72D-5C2A832B87CB}">
  <ds:schemaRefs/>
</ds:datastoreItem>
</file>

<file path=customXml/itemProps8.xml><?xml version="1.0" encoding="utf-8"?>
<ds:datastoreItem xmlns:ds="http://schemas.openxmlformats.org/officeDocument/2006/customXml" ds:itemID="{66454144-0CC8-42CA-BAB0-8777B9B296BB}">
  <ds:schemaRefs/>
</ds:datastoreItem>
</file>

<file path=customXml/itemProps9.xml><?xml version="1.0" encoding="utf-8"?>
<ds:datastoreItem xmlns:ds="http://schemas.openxmlformats.org/officeDocument/2006/customXml" ds:itemID="{E8639405-5D53-4FC6-B2F6-BD6372F260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807</Words>
  <Characters>4603</Characters>
  <Lines>38</Lines>
  <Paragraphs>10</Paragraphs>
  <TotalTime>0</TotalTime>
  <ScaleCrop>false</ScaleCrop>
  <LinksUpToDate>false</LinksUpToDate>
  <CharactersWithSpaces>5400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2023-04-03T01:01:00Z</dcterms:created>
  <dc:creator>Michael Sanders, John M Meredith</dc:creator>
  <cp:lastModifiedBy>ZTE-V1</cp:lastModifiedBy>
  <cp:lastPrinted>2411-12-31T15:59:00Z</cp:lastPrinted>
  <dcterms:modified xsi:type="dcterms:W3CDTF">2023-04-10T03:50:00Z</dcterms:modified>
  <dc:title>3GPP Contribution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5AIRPNAIUNRU-931754773-3132</vt:lpwstr>
  </property>
  <property fmtid="{D5CDD505-2E9C-101B-9397-08002B2CF9AE}" pid="4" name="_dlc_DocIdItemGuid">
    <vt:lpwstr>5a4cfa2b-9d78-45ae-864f-7cd70e2b143a</vt:lpwstr>
  </property>
  <property fmtid="{D5CDD505-2E9C-101B-9397-08002B2CF9AE}" pid="5" name="_dlc_DocIdUrl">
    <vt:lpwstr>https://nokia.sharepoint.com/sites/c5g/security/_layouts/15/DocIdRedir.aspx?ID=5AIRPNAIUNRU-931754773-3132, 5AIRPNAIUNRU-931754773-3132</vt:lpwstr>
  </property>
  <property fmtid="{D5CDD505-2E9C-101B-9397-08002B2CF9AE}" pid="6" name="KSOProductBuildVer">
    <vt:lpwstr>2052-11.8.2.10393</vt:lpwstr>
  </property>
</Properties>
</file>